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F9" w:rsidRDefault="009053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23E5">
        <w:rPr>
          <w:rFonts w:ascii="Times New Roman" w:hAnsi="Times New Roman" w:cs="Times New Roman"/>
          <w:b/>
          <w:sz w:val="24"/>
          <w:szCs w:val="24"/>
        </w:rPr>
        <w:t>Thiamethoxam</w:t>
      </w:r>
      <w:proofErr w:type="spellEnd"/>
      <w:r w:rsidRPr="007823E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7823E5">
        <w:rPr>
          <w:rFonts w:ascii="Times New Roman" w:hAnsi="Times New Roman" w:cs="Times New Roman"/>
          <w:b/>
          <w:sz w:val="24"/>
          <w:szCs w:val="24"/>
        </w:rPr>
        <w:t>Clothianidin</w:t>
      </w:r>
      <w:proofErr w:type="spellEnd"/>
      <w:r w:rsidRPr="007823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23E5">
        <w:rPr>
          <w:rFonts w:ascii="Times New Roman" w:hAnsi="Times New Roman" w:cs="Times New Roman"/>
          <w:b/>
          <w:sz w:val="24"/>
          <w:szCs w:val="24"/>
        </w:rPr>
        <w:t xml:space="preserve">Advice on </w:t>
      </w:r>
      <w:r w:rsidRPr="007823E5">
        <w:rPr>
          <w:rFonts w:ascii="Times New Roman" w:hAnsi="Times New Roman" w:cs="Times New Roman"/>
          <w:b/>
          <w:sz w:val="24"/>
          <w:szCs w:val="24"/>
        </w:rPr>
        <w:t>Residue definitions and MRLs</w:t>
      </w:r>
    </w:p>
    <w:p w:rsidR="00C06C66" w:rsidRDefault="00C06C66">
      <w:pPr>
        <w:rPr>
          <w:rFonts w:ascii="Times New Roman" w:hAnsi="Times New Roman" w:cs="Times New Roman"/>
          <w:b/>
          <w:sz w:val="24"/>
          <w:szCs w:val="24"/>
        </w:rPr>
      </w:pPr>
    </w:p>
    <w:p w:rsidR="000E21D5" w:rsidRDefault="0090537A" w:rsidP="0090537A">
      <w:pPr>
        <w:rPr>
          <w:rFonts w:ascii="Times New Roman" w:hAnsi="Times New Roman" w:cs="Times New Roman"/>
          <w:sz w:val="24"/>
          <w:szCs w:val="24"/>
        </w:rPr>
      </w:pPr>
      <w:r w:rsidRPr="0090537A">
        <w:rPr>
          <w:rFonts w:ascii="Times New Roman" w:hAnsi="Times New Roman" w:cs="Times New Roman"/>
          <w:i/>
          <w:sz w:val="24"/>
          <w:szCs w:val="24"/>
        </w:rPr>
        <w:t>Syngenta Australia Pty Ltd</w:t>
      </w:r>
      <w:r w:rsidRPr="0090537A">
        <w:rPr>
          <w:rFonts w:ascii="Times New Roman" w:hAnsi="Times New Roman" w:cs="Times New Roman"/>
          <w:sz w:val="24"/>
          <w:szCs w:val="24"/>
        </w:rPr>
        <w:t xml:space="preserve"> has submitted </w:t>
      </w:r>
      <w:r w:rsidR="000E21D5">
        <w:rPr>
          <w:rFonts w:ascii="Times New Roman" w:hAnsi="Times New Roman" w:cs="Times New Roman"/>
          <w:sz w:val="24"/>
          <w:szCs w:val="24"/>
        </w:rPr>
        <w:t xml:space="preserve">metabolism and residue trial </w:t>
      </w:r>
      <w:r w:rsidRPr="0090537A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0E21D5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0E21D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="000E21D5">
        <w:rPr>
          <w:rFonts w:ascii="Times New Roman" w:hAnsi="Times New Roman" w:cs="Times New Roman"/>
          <w:sz w:val="24"/>
          <w:szCs w:val="24"/>
        </w:rPr>
        <w:t xml:space="preserve"> </w:t>
      </w:r>
      <w:r w:rsidR="00C06C66">
        <w:rPr>
          <w:rFonts w:ascii="Times New Roman" w:hAnsi="Times New Roman" w:cs="Times New Roman"/>
          <w:sz w:val="24"/>
          <w:szCs w:val="24"/>
        </w:rPr>
        <w:t xml:space="preserve">to the APVMA </w:t>
      </w:r>
      <w:r w:rsidRPr="0090537A">
        <w:rPr>
          <w:rFonts w:ascii="Times New Roman" w:hAnsi="Times New Roman" w:cs="Times New Roman"/>
          <w:sz w:val="24"/>
          <w:szCs w:val="24"/>
        </w:rPr>
        <w:t xml:space="preserve">under section 161 of the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AgVet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 Code to allow reconsideration of the residue definitions and MRLs for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. </w:t>
      </w:r>
      <w:r w:rsidR="000E21D5">
        <w:rPr>
          <w:rFonts w:ascii="Times New Roman" w:hAnsi="Times New Roman" w:cs="Times New Roman"/>
          <w:sz w:val="24"/>
          <w:szCs w:val="24"/>
        </w:rPr>
        <w:t xml:space="preserve">No changes to currently approved use patterns </w:t>
      </w:r>
      <w:r w:rsidR="007072CA">
        <w:rPr>
          <w:rFonts w:ascii="Times New Roman" w:hAnsi="Times New Roman" w:cs="Times New Roman"/>
          <w:sz w:val="24"/>
          <w:szCs w:val="24"/>
        </w:rPr>
        <w:t>are required</w:t>
      </w:r>
      <w:bookmarkStart w:id="0" w:name="_GoBack"/>
      <w:bookmarkEnd w:id="0"/>
      <w:r w:rsidR="000E21D5">
        <w:rPr>
          <w:rFonts w:ascii="Times New Roman" w:hAnsi="Times New Roman" w:cs="Times New Roman"/>
          <w:sz w:val="24"/>
          <w:szCs w:val="24"/>
        </w:rPr>
        <w:t>.</w:t>
      </w:r>
    </w:p>
    <w:p w:rsidR="0090537A" w:rsidRPr="0090537A" w:rsidRDefault="0090537A" w:rsidP="009053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37A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 (the E-isomer of CGA 322704) is a metabolite of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 and has been detected in commodities where no </w:t>
      </w:r>
      <w:proofErr w:type="spellStart"/>
      <w:r w:rsidR="000E21D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="000E21D5">
        <w:rPr>
          <w:rFonts w:ascii="Times New Roman" w:hAnsi="Times New Roman" w:cs="Times New Roman"/>
          <w:sz w:val="24"/>
          <w:szCs w:val="24"/>
        </w:rPr>
        <w:t xml:space="preserve"> </w:t>
      </w:r>
      <w:r w:rsidRPr="0090537A">
        <w:rPr>
          <w:rFonts w:ascii="Times New Roman" w:hAnsi="Times New Roman" w:cs="Times New Roman"/>
          <w:sz w:val="24"/>
          <w:szCs w:val="24"/>
        </w:rPr>
        <w:t xml:space="preserve">MRL has been set as a result of registered uses of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. </w:t>
      </w:r>
      <w:r w:rsidR="000E21D5" w:rsidRPr="000E21D5">
        <w:rPr>
          <w:rFonts w:ascii="Times New Roman" w:hAnsi="Times New Roman" w:cs="Times New Roman"/>
          <w:sz w:val="24"/>
          <w:szCs w:val="24"/>
        </w:rPr>
        <w:t>With E</w:t>
      </w:r>
      <w:r w:rsidR="000E21D5">
        <w:rPr>
          <w:rFonts w:ascii="Times New Roman" w:hAnsi="Times New Roman" w:cs="Times New Roman"/>
          <w:sz w:val="24"/>
          <w:szCs w:val="24"/>
        </w:rPr>
        <w:t xml:space="preserve"> ↔ Z interconversion, CGA322704</w:t>
      </w:r>
      <w:r w:rsidR="000E21D5" w:rsidRPr="000E21D5">
        <w:rPr>
          <w:rFonts w:ascii="Times New Roman" w:hAnsi="Times New Roman" w:cs="Times New Roman"/>
          <w:sz w:val="24"/>
          <w:szCs w:val="24"/>
        </w:rPr>
        <w:t xml:space="preserve"> appear</w:t>
      </w:r>
      <w:r w:rsidR="000E21D5">
        <w:rPr>
          <w:rFonts w:ascii="Times New Roman" w:hAnsi="Times New Roman" w:cs="Times New Roman"/>
          <w:sz w:val="24"/>
          <w:szCs w:val="24"/>
        </w:rPr>
        <w:t>s</w:t>
      </w:r>
      <w:r w:rsidR="000E21D5" w:rsidRPr="000E21D5">
        <w:rPr>
          <w:rFonts w:ascii="Times New Roman" w:hAnsi="Times New Roman" w:cs="Times New Roman"/>
          <w:sz w:val="24"/>
          <w:szCs w:val="24"/>
        </w:rPr>
        <w:t xml:space="preserve"> the same as </w:t>
      </w:r>
      <w:proofErr w:type="spellStart"/>
      <w:r w:rsidR="000E21D5" w:rsidRPr="000E21D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="000E21D5" w:rsidRPr="000E21D5">
        <w:rPr>
          <w:rFonts w:ascii="Times New Roman" w:hAnsi="Times New Roman" w:cs="Times New Roman"/>
          <w:sz w:val="24"/>
          <w:szCs w:val="24"/>
        </w:rPr>
        <w:t xml:space="preserve"> in analytical methods.</w:t>
      </w:r>
      <w:r w:rsidR="000E21D5">
        <w:t xml:space="preserve"> </w:t>
      </w:r>
      <w:r w:rsidRPr="0090537A">
        <w:rPr>
          <w:rFonts w:ascii="Times New Roman" w:hAnsi="Times New Roman" w:cs="Times New Roman"/>
          <w:sz w:val="24"/>
          <w:szCs w:val="24"/>
        </w:rPr>
        <w:t>The 2010 JMPR</w:t>
      </w:r>
      <w:r w:rsidR="006E040C">
        <w:rPr>
          <w:rFonts w:ascii="Times New Roman" w:hAnsi="Times New Roman" w:cs="Times New Roman"/>
          <w:sz w:val="24"/>
          <w:szCs w:val="24"/>
        </w:rPr>
        <w:t>, which reviewed a similar residues dossier to that available to the APVMA,</w:t>
      </w:r>
      <w:r w:rsidRPr="0090537A">
        <w:rPr>
          <w:rFonts w:ascii="Times New Roman" w:hAnsi="Times New Roman" w:cs="Times New Roman"/>
          <w:sz w:val="24"/>
          <w:szCs w:val="24"/>
        </w:rPr>
        <w:t xml:space="preserve"> concluded that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 residues may arise from the use of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 or from the use of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>. Sep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537A">
        <w:rPr>
          <w:rFonts w:ascii="Times New Roman" w:hAnsi="Times New Roman" w:cs="Times New Roman"/>
          <w:sz w:val="24"/>
          <w:szCs w:val="24"/>
        </w:rPr>
        <w:t>rate residue definitions are needed:</w:t>
      </w:r>
    </w:p>
    <w:p w:rsidR="0090537A" w:rsidRPr="0090537A" w:rsidRDefault="0090537A" w:rsidP="009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37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</w:p>
    <w:p w:rsidR="0090537A" w:rsidRPr="0090537A" w:rsidRDefault="0090537A" w:rsidP="00905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537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 (from uses of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) and CGA 322704 (from uses of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 xml:space="preserve">), appearing as </w:t>
      </w:r>
      <w:proofErr w:type="spellStart"/>
      <w:r w:rsidRPr="0090537A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90537A">
        <w:rPr>
          <w:rFonts w:ascii="Times New Roman" w:hAnsi="Times New Roman" w:cs="Times New Roman"/>
          <w:sz w:val="24"/>
          <w:szCs w:val="24"/>
        </w:rPr>
        <w:t>.</w:t>
      </w:r>
    </w:p>
    <w:p w:rsidR="0090537A" w:rsidRDefault="00905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0E21D5">
        <w:rPr>
          <w:rFonts w:ascii="Times New Roman" w:hAnsi="Times New Roman" w:cs="Times New Roman"/>
          <w:sz w:val="24"/>
          <w:szCs w:val="24"/>
        </w:rPr>
        <w:t xml:space="preserve">residue definition </w:t>
      </w:r>
      <w:r>
        <w:rPr>
          <w:rFonts w:ascii="Times New Roman" w:hAnsi="Times New Roman" w:cs="Times New Roman"/>
          <w:sz w:val="24"/>
          <w:szCs w:val="24"/>
        </w:rPr>
        <w:t xml:space="preserve">changes to Table 3 of the MRL Standard </w:t>
      </w:r>
      <w:r w:rsidR="000E21D5">
        <w:rPr>
          <w:rFonts w:ascii="Times New Roman" w:hAnsi="Times New Roman" w:cs="Times New Roman"/>
          <w:sz w:val="24"/>
          <w:szCs w:val="24"/>
        </w:rPr>
        <w:t>have been recommended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3E5" w:rsidRDefault="007823E5">
      <w:pPr>
        <w:rPr>
          <w:rFonts w:ascii="Times New Roman" w:hAnsi="Times New Roman" w:cs="Times New Roman"/>
          <w:sz w:val="24"/>
          <w:szCs w:val="24"/>
        </w:rPr>
      </w:pPr>
    </w:p>
    <w:p w:rsidR="007823E5" w:rsidRPr="007823E5" w:rsidRDefault="00782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</w:p>
    <w:tbl>
      <w:tblPr>
        <w:tblW w:w="965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59"/>
      </w:tblGrid>
      <w:tr w:rsidR="0090537A" w:rsidRPr="005202D2" w:rsidTr="005B46CF">
        <w:trPr>
          <w:cantSplit/>
          <w:tblHeader/>
        </w:trPr>
        <w:tc>
          <w:tcPr>
            <w:tcW w:w="3600" w:type="dxa"/>
          </w:tcPr>
          <w:p w:rsidR="0090537A" w:rsidRPr="005202D2" w:rsidRDefault="0090537A" w:rsidP="005B46CF">
            <w:pPr>
              <w:pStyle w:val="MRLTableHeading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>COMPOUND</w:t>
            </w:r>
          </w:p>
        </w:tc>
        <w:tc>
          <w:tcPr>
            <w:tcW w:w="6059" w:type="dxa"/>
          </w:tcPr>
          <w:p w:rsidR="0090537A" w:rsidRPr="005202D2" w:rsidRDefault="0090537A" w:rsidP="005B46CF">
            <w:pPr>
              <w:pStyle w:val="MRLTableHeading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>RESIDUE</w:t>
            </w:r>
          </w:p>
        </w:tc>
      </w:tr>
      <w:tr w:rsidR="0090537A" w:rsidRPr="005202D2" w:rsidTr="005B46CF">
        <w:trPr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>DELETE:</w:t>
            </w:r>
          </w:p>
        </w:tc>
        <w:tc>
          <w:tcPr>
            <w:tcW w:w="6059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37A" w:rsidRPr="005202D2" w:rsidTr="005B46CF">
        <w:trPr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02D2">
              <w:rPr>
                <w:rFonts w:ascii="Arial" w:hAnsi="Arial" w:cs="Arial"/>
                <w:b/>
                <w:bCs/>
                <w:sz w:val="18"/>
                <w:szCs w:val="18"/>
              </w:rPr>
              <w:t>Clothianidin</w:t>
            </w:r>
            <w:proofErr w:type="spellEnd"/>
          </w:p>
        </w:tc>
        <w:tc>
          <w:tcPr>
            <w:tcW w:w="6059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Clothianidin</w:t>
            </w:r>
            <w:proofErr w:type="spellEnd"/>
          </w:p>
        </w:tc>
      </w:tr>
      <w:tr w:rsidR="0090537A" w:rsidRPr="005202D2" w:rsidTr="005B46CF">
        <w:trPr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02D2">
              <w:rPr>
                <w:rFonts w:ascii="Arial" w:hAnsi="Arial" w:cs="Arial"/>
                <w:b/>
                <w:bCs/>
                <w:sz w:val="18"/>
                <w:szCs w:val="18"/>
              </w:rPr>
              <w:t>Thiamethoxam</w:t>
            </w:r>
            <w:proofErr w:type="spellEnd"/>
          </w:p>
        </w:tc>
        <w:tc>
          <w:tcPr>
            <w:tcW w:w="6059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 xml:space="preserve">Commodities of plant origin: </w:t>
            </w: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Thiamethoxam</w:t>
            </w:r>
            <w:proofErr w:type="spellEnd"/>
          </w:p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 xml:space="preserve">Commodities of animal origin: Sum of </w:t>
            </w: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thiamethoxam</w:t>
            </w:r>
            <w:proofErr w:type="spellEnd"/>
            <w:r w:rsidRPr="005202D2">
              <w:rPr>
                <w:rFonts w:ascii="Arial" w:hAnsi="Arial" w:cs="Arial"/>
                <w:sz w:val="18"/>
                <w:szCs w:val="18"/>
              </w:rPr>
              <w:t xml:space="preserve"> and N-(2-chloro-thiazol-5-ylmethyl)-N’-methyl-N’-nitro-guanidine, expressed as </w:t>
            </w: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Thiamethoxam</w:t>
            </w:r>
            <w:proofErr w:type="spellEnd"/>
          </w:p>
        </w:tc>
      </w:tr>
      <w:tr w:rsidR="0090537A" w:rsidRPr="005202D2" w:rsidTr="005B46CF">
        <w:trPr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>ADD:</w:t>
            </w:r>
          </w:p>
        </w:tc>
        <w:tc>
          <w:tcPr>
            <w:tcW w:w="6059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37A" w:rsidRPr="005202D2" w:rsidTr="005B46CF">
        <w:trPr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02D2">
              <w:rPr>
                <w:rFonts w:ascii="Arial" w:hAnsi="Arial" w:cs="Arial"/>
                <w:b/>
                <w:bCs/>
                <w:sz w:val="18"/>
                <w:szCs w:val="18"/>
              </w:rPr>
              <w:t>Clothianidin</w:t>
            </w:r>
            <w:proofErr w:type="spellEnd"/>
            <w:r w:rsidRPr="005202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072CA">
              <w:rPr>
                <w:rFonts w:ascii="Arial" w:hAnsi="Arial" w:cs="Arial"/>
                <w:bCs/>
                <w:i/>
                <w:sz w:val="18"/>
                <w:szCs w:val="18"/>
              </w:rPr>
              <w:t>see also</w:t>
            </w:r>
            <w:r w:rsidRPr="005202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47088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5202D2">
              <w:rPr>
                <w:rFonts w:ascii="Arial" w:hAnsi="Arial" w:cs="Arial"/>
                <w:b/>
                <w:bCs/>
                <w:sz w:val="18"/>
                <w:szCs w:val="18"/>
              </w:rPr>
              <w:t>hiamethoxam</w:t>
            </w:r>
            <w:proofErr w:type="spellEnd"/>
          </w:p>
        </w:tc>
        <w:tc>
          <w:tcPr>
            <w:tcW w:w="6059" w:type="dxa"/>
            <w:tcBorders>
              <w:top w:val="nil"/>
              <w:bottom w:val="nil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Clothianidn</w:t>
            </w:r>
            <w:proofErr w:type="spellEnd"/>
          </w:p>
        </w:tc>
      </w:tr>
      <w:tr w:rsidR="0090537A" w:rsidRPr="005202D2" w:rsidTr="005B46CF">
        <w:trPr>
          <w:cantSplit/>
        </w:trPr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90537A" w:rsidRPr="00F47088" w:rsidRDefault="0090537A" w:rsidP="005B46CF">
            <w:pPr>
              <w:pStyle w:val="MRLTable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02D2">
              <w:rPr>
                <w:rFonts w:ascii="Arial" w:hAnsi="Arial" w:cs="Arial"/>
                <w:b/>
                <w:bCs/>
                <w:sz w:val="18"/>
                <w:szCs w:val="18"/>
              </w:rPr>
              <w:t>Thiamethoxam</w:t>
            </w:r>
            <w:proofErr w:type="spellEnd"/>
            <w:r w:rsidR="00F470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7088">
              <w:rPr>
                <w:rFonts w:ascii="Arial" w:hAnsi="Arial" w:cs="Arial"/>
                <w:bCs/>
                <w:i/>
                <w:sz w:val="18"/>
                <w:szCs w:val="18"/>
              </w:rPr>
              <w:t>see also</w:t>
            </w:r>
            <w:r w:rsidR="00F470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47088">
              <w:rPr>
                <w:rFonts w:ascii="Arial" w:hAnsi="Arial" w:cs="Arial"/>
                <w:b/>
                <w:bCs/>
                <w:sz w:val="18"/>
                <w:szCs w:val="18"/>
              </w:rPr>
              <w:t>Clothianidin</w:t>
            </w:r>
            <w:proofErr w:type="spellEnd"/>
          </w:p>
        </w:tc>
        <w:tc>
          <w:tcPr>
            <w:tcW w:w="6059" w:type="dxa"/>
            <w:tcBorders>
              <w:top w:val="nil"/>
              <w:bottom w:val="single" w:sz="4" w:space="0" w:color="auto"/>
            </w:tcBorders>
          </w:tcPr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 xml:space="preserve">Commodities of plant origin: </w:t>
            </w: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Thiamethoxam</w:t>
            </w:r>
            <w:proofErr w:type="spellEnd"/>
          </w:p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 xml:space="preserve">Commodities of animal origin: Sum of </w:t>
            </w: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thiamethoxam</w:t>
            </w:r>
            <w:proofErr w:type="spellEnd"/>
            <w:r w:rsidRPr="005202D2">
              <w:rPr>
                <w:rFonts w:ascii="Arial" w:hAnsi="Arial" w:cs="Arial"/>
                <w:sz w:val="18"/>
                <w:szCs w:val="18"/>
              </w:rPr>
              <w:t xml:space="preserve"> and N-(2-chloro-thiazol-5-ylmethyl)-N’-methyl-N’-nitro-guanidine, expressed as </w:t>
            </w: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Thiamethoxam</w:t>
            </w:r>
            <w:proofErr w:type="spellEnd"/>
          </w:p>
          <w:p w:rsidR="0090537A" w:rsidRPr="005202D2" w:rsidRDefault="0090537A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5202D2">
              <w:rPr>
                <w:rFonts w:ascii="Arial" w:hAnsi="Arial" w:cs="Arial"/>
                <w:sz w:val="18"/>
                <w:szCs w:val="18"/>
              </w:rPr>
              <w:t xml:space="preserve">(Note: the metabolite </w:t>
            </w:r>
            <w:proofErr w:type="spellStart"/>
            <w:r w:rsidRPr="005202D2">
              <w:rPr>
                <w:rFonts w:ascii="Arial" w:hAnsi="Arial" w:cs="Arial"/>
                <w:sz w:val="18"/>
                <w:szCs w:val="18"/>
              </w:rPr>
              <w:t>clothianidin</w:t>
            </w:r>
            <w:proofErr w:type="spellEnd"/>
            <w:r w:rsidRPr="005202D2">
              <w:rPr>
                <w:rFonts w:ascii="Arial" w:hAnsi="Arial" w:cs="Arial"/>
                <w:sz w:val="18"/>
                <w:szCs w:val="18"/>
              </w:rPr>
              <w:t xml:space="preserve"> has separate MRLs)</w:t>
            </w:r>
          </w:p>
        </w:tc>
      </w:tr>
    </w:tbl>
    <w:p w:rsidR="0090537A" w:rsidRDefault="0090537A" w:rsidP="0090537A">
      <w:pPr>
        <w:rPr>
          <w:rFonts w:ascii="Times New Roman" w:hAnsi="Times New Roman" w:cs="Times New Roman"/>
          <w:i/>
          <w:sz w:val="20"/>
          <w:szCs w:val="20"/>
        </w:rPr>
      </w:pPr>
      <w:r w:rsidRPr="007823E5">
        <w:rPr>
          <w:rFonts w:ascii="Times New Roman" w:hAnsi="Times New Roman" w:cs="Times New Roman"/>
          <w:i/>
          <w:sz w:val="20"/>
          <w:szCs w:val="20"/>
        </w:rPr>
        <w:t xml:space="preserve">It is noted that the current Codex definition for </w:t>
      </w:r>
      <w:proofErr w:type="spellStart"/>
      <w:r w:rsidRPr="007823E5">
        <w:rPr>
          <w:rFonts w:ascii="Times New Roman" w:hAnsi="Times New Roman" w:cs="Times New Roman"/>
          <w:i/>
          <w:sz w:val="20"/>
          <w:szCs w:val="20"/>
        </w:rPr>
        <w:t>thiamethoxam</w:t>
      </w:r>
      <w:proofErr w:type="spellEnd"/>
      <w:r w:rsidRPr="007823E5">
        <w:rPr>
          <w:rFonts w:ascii="Times New Roman" w:hAnsi="Times New Roman" w:cs="Times New Roman"/>
          <w:i/>
          <w:sz w:val="20"/>
          <w:szCs w:val="20"/>
        </w:rPr>
        <w:t xml:space="preserve"> for compliance with MRLs is </w:t>
      </w:r>
      <w:proofErr w:type="spellStart"/>
      <w:r w:rsidRPr="007823E5">
        <w:rPr>
          <w:rFonts w:ascii="Times New Roman" w:hAnsi="Times New Roman" w:cs="Times New Roman"/>
          <w:i/>
          <w:sz w:val="20"/>
          <w:szCs w:val="20"/>
        </w:rPr>
        <w:t>thiamethoxam</w:t>
      </w:r>
      <w:proofErr w:type="spellEnd"/>
      <w:r w:rsidRPr="007823E5">
        <w:rPr>
          <w:rFonts w:ascii="Times New Roman" w:hAnsi="Times New Roman" w:cs="Times New Roman"/>
          <w:i/>
          <w:sz w:val="20"/>
          <w:szCs w:val="20"/>
        </w:rPr>
        <w:t xml:space="preserve">, the Codex definition for </w:t>
      </w:r>
      <w:proofErr w:type="spellStart"/>
      <w:r w:rsidRPr="007823E5">
        <w:rPr>
          <w:rFonts w:ascii="Times New Roman" w:hAnsi="Times New Roman" w:cs="Times New Roman"/>
          <w:i/>
          <w:sz w:val="20"/>
          <w:szCs w:val="20"/>
        </w:rPr>
        <w:t>clothianidin</w:t>
      </w:r>
      <w:proofErr w:type="spellEnd"/>
      <w:r w:rsidRPr="007823E5">
        <w:rPr>
          <w:rFonts w:ascii="Times New Roman" w:hAnsi="Times New Roman" w:cs="Times New Roman"/>
          <w:i/>
          <w:sz w:val="20"/>
          <w:szCs w:val="20"/>
        </w:rPr>
        <w:t xml:space="preserve"> is </w:t>
      </w:r>
      <w:proofErr w:type="spellStart"/>
      <w:r w:rsidRPr="007823E5">
        <w:rPr>
          <w:rFonts w:ascii="Times New Roman" w:hAnsi="Times New Roman" w:cs="Times New Roman"/>
          <w:i/>
          <w:sz w:val="20"/>
          <w:szCs w:val="20"/>
        </w:rPr>
        <w:t>clothianidin</w:t>
      </w:r>
      <w:proofErr w:type="spellEnd"/>
      <w:r w:rsidRPr="007823E5">
        <w:rPr>
          <w:rFonts w:ascii="Times New Roman" w:hAnsi="Times New Roman" w:cs="Times New Roman"/>
          <w:i/>
          <w:sz w:val="20"/>
          <w:szCs w:val="20"/>
        </w:rPr>
        <w:t>.</w:t>
      </w:r>
    </w:p>
    <w:p w:rsidR="007823E5" w:rsidRDefault="007823E5" w:rsidP="0090537A">
      <w:pPr>
        <w:rPr>
          <w:rFonts w:ascii="Times New Roman" w:hAnsi="Times New Roman" w:cs="Times New Roman"/>
          <w:i/>
          <w:sz w:val="20"/>
          <w:szCs w:val="20"/>
        </w:rPr>
      </w:pPr>
    </w:p>
    <w:p w:rsidR="00722579" w:rsidRDefault="00722579" w:rsidP="0090537A">
      <w:pPr>
        <w:rPr>
          <w:rFonts w:ascii="Times New Roman" w:hAnsi="Times New Roman" w:cs="Times New Roman"/>
          <w:i/>
          <w:sz w:val="20"/>
          <w:szCs w:val="20"/>
        </w:rPr>
      </w:pPr>
    </w:p>
    <w:p w:rsidR="00722579" w:rsidRPr="007823E5" w:rsidRDefault="00722579" w:rsidP="0090537A">
      <w:pPr>
        <w:rPr>
          <w:rFonts w:ascii="Times New Roman" w:hAnsi="Times New Roman" w:cs="Times New Roman"/>
          <w:i/>
          <w:sz w:val="20"/>
          <w:szCs w:val="20"/>
        </w:rPr>
      </w:pPr>
    </w:p>
    <w:p w:rsidR="0090537A" w:rsidRDefault="007823E5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lastRenderedPageBreak/>
        <w:t>Residue trial data from overseas and Australia</w:t>
      </w:r>
      <w:r w:rsidR="00914AB3">
        <w:rPr>
          <w:rFonts w:ascii="Times New Roman" w:hAnsi="Times New Roman" w:cs="Times New Roman"/>
          <w:sz w:val="24"/>
          <w:szCs w:val="24"/>
        </w:rPr>
        <w:t>,</w:t>
      </w:r>
      <w:r w:rsidRPr="007823E5">
        <w:rPr>
          <w:rFonts w:ascii="Times New Roman" w:hAnsi="Times New Roman" w:cs="Times New Roman"/>
          <w:sz w:val="24"/>
          <w:szCs w:val="24"/>
        </w:rPr>
        <w:t xml:space="preserve"> where available</w:t>
      </w:r>
      <w:r w:rsidR="00914AB3">
        <w:rPr>
          <w:rFonts w:ascii="Times New Roman" w:hAnsi="Times New Roman" w:cs="Times New Roman"/>
          <w:sz w:val="24"/>
          <w:szCs w:val="24"/>
        </w:rPr>
        <w:t>,</w:t>
      </w:r>
      <w:r w:rsidRPr="007823E5">
        <w:rPr>
          <w:rFonts w:ascii="Times New Roman" w:hAnsi="Times New Roman" w:cs="Times New Roman"/>
          <w:sz w:val="24"/>
          <w:szCs w:val="24"/>
        </w:rPr>
        <w:t xml:space="preserve"> have been provided for all crop groups which currently have approved uses of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for the consideration of CGA322704 residues and appropriate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MRLs for use of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following MRL changes to Table 1 of the MRL Standard </w:t>
      </w:r>
      <w:r w:rsidR="000E21D5">
        <w:rPr>
          <w:rFonts w:ascii="Times New Roman" w:hAnsi="Times New Roman" w:cs="Times New Roman"/>
          <w:sz w:val="24"/>
          <w:szCs w:val="24"/>
        </w:rPr>
        <w:t>have been recommended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3E5" w:rsidRDefault="007823E5">
      <w:pPr>
        <w:rPr>
          <w:rFonts w:ascii="Times New Roman" w:hAnsi="Times New Roman" w:cs="Times New Roman"/>
          <w:sz w:val="24"/>
          <w:szCs w:val="24"/>
        </w:rPr>
      </w:pPr>
    </w:p>
    <w:p w:rsidR="007823E5" w:rsidRPr="00BB44BB" w:rsidRDefault="007823E5" w:rsidP="007823E5">
      <w:pPr>
        <w:pStyle w:val="MRLTableCaption"/>
      </w:pPr>
      <w:r w:rsidRPr="00BB44BB">
        <w:t>Table 1</w:t>
      </w: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2387"/>
        <w:gridCol w:w="5528"/>
        <w:gridCol w:w="1843"/>
      </w:tblGrid>
      <w:tr w:rsidR="007823E5" w:rsidRPr="00BB44BB" w:rsidTr="005B46CF">
        <w:trPr>
          <w:cantSplit/>
          <w:tblHeader/>
        </w:trPr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23E5" w:rsidRPr="00BB44BB" w:rsidRDefault="007823E5" w:rsidP="005B46CF">
            <w:pPr>
              <w:pStyle w:val="MRLTableHeading"/>
              <w:rPr>
                <w:rFonts w:ascii="Arial" w:hAnsi="Arial" w:cs="Arial"/>
                <w:sz w:val="18"/>
                <w:szCs w:val="18"/>
              </w:rPr>
            </w:pPr>
            <w:r w:rsidRPr="00BB44BB">
              <w:rPr>
                <w:rFonts w:ascii="Arial" w:hAnsi="Arial" w:cs="Arial"/>
                <w:sz w:val="18"/>
                <w:szCs w:val="18"/>
              </w:rPr>
              <w:t>COMPOUND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23E5" w:rsidRPr="00BB44BB" w:rsidRDefault="007823E5" w:rsidP="005B46CF">
            <w:pPr>
              <w:pStyle w:val="MRLTableHeading"/>
              <w:rPr>
                <w:rFonts w:ascii="Arial" w:hAnsi="Arial" w:cs="Arial"/>
                <w:sz w:val="18"/>
                <w:szCs w:val="18"/>
              </w:rPr>
            </w:pPr>
            <w:r w:rsidRPr="00BB44BB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23E5" w:rsidRPr="00BB44BB" w:rsidRDefault="007823E5" w:rsidP="005B46CF">
            <w:pPr>
              <w:pStyle w:val="MRLTableHeading"/>
              <w:rPr>
                <w:rFonts w:ascii="Arial" w:hAnsi="Arial" w:cs="Arial"/>
                <w:sz w:val="18"/>
                <w:szCs w:val="18"/>
              </w:rPr>
            </w:pPr>
            <w:r w:rsidRPr="00BB44BB">
              <w:rPr>
                <w:rFonts w:ascii="Arial" w:hAnsi="Arial" w:cs="Arial"/>
                <w:sz w:val="18"/>
                <w:szCs w:val="18"/>
              </w:rPr>
              <w:t>MRL (mg/kg)</w:t>
            </w:r>
          </w:p>
        </w:tc>
      </w:tr>
      <w:tr w:rsidR="007823E5" w:rsidRPr="00BB44BB" w:rsidTr="005B46CF">
        <w:trPr>
          <w:cantSplit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3E5" w:rsidRPr="00BB44BB" w:rsidRDefault="007823E5" w:rsidP="005B46CF">
            <w:pPr>
              <w:pStyle w:val="MRLActiveName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B44BB">
              <w:rPr>
                <w:rFonts w:ascii="Arial" w:hAnsi="Arial" w:cs="Arial"/>
                <w:sz w:val="18"/>
                <w:szCs w:val="18"/>
              </w:rPr>
              <w:t>Clothianidin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3E5" w:rsidRPr="00BB44BB" w:rsidRDefault="007823E5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3E5" w:rsidRPr="00BB44BB" w:rsidRDefault="007823E5" w:rsidP="005B46CF">
            <w:pPr>
              <w:pStyle w:val="MRLValu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E5" w:rsidRPr="00BB44BB" w:rsidTr="005B46CF">
        <w:trPr>
          <w:cantSplit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3E5" w:rsidRPr="00BB44BB" w:rsidRDefault="007823E5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BB44BB">
              <w:rPr>
                <w:rFonts w:ascii="Arial" w:hAnsi="Arial" w:cs="Arial"/>
                <w:sz w:val="18"/>
                <w:szCs w:val="18"/>
              </w:rPr>
              <w:t>ADD: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3E5" w:rsidRPr="00BB44BB" w:rsidRDefault="007823E5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3E5" w:rsidRPr="00BB44BB" w:rsidRDefault="007823E5" w:rsidP="005B46CF">
            <w:pPr>
              <w:pStyle w:val="MRLValu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E5" w:rsidRPr="00BB44BB" w:rsidTr="005B46CF">
        <w:trPr>
          <w:cantSplit/>
        </w:trPr>
        <w:tc>
          <w:tcPr>
            <w:tcW w:w="2387" w:type="dxa"/>
            <w:tcBorders>
              <w:top w:val="nil"/>
              <w:left w:val="nil"/>
              <w:right w:val="nil"/>
            </w:tcBorders>
            <w:noWrap/>
          </w:tcPr>
          <w:p w:rsidR="007823E5" w:rsidRPr="00BB44BB" w:rsidRDefault="007823E5" w:rsidP="005B46CF">
            <w:pPr>
              <w:pStyle w:val="MRLCompou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</w:t>
            </w:r>
            <w:r>
              <w:rPr>
                <w:rFonts w:ascii="Arial" w:hAnsi="Arial" w:cs="Arial"/>
                <w:sz w:val="18"/>
                <w:szCs w:val="18"/>
              </w:rPr>
              <w:tab/>
              <w:t>008</w:t>
            </w:r>
            <w:r w:rsidRPr="00BB44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noWrap/>
          </w:tcPr>
          <w:p w:rsidR="007823E5" w:rsidRPr="00BB44BB" w:rsidRDefault="007823E5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Cereal grains [except Maize; Popcorn and Sorghum]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7823E5" w:rsidRPr="00BB44BB" w:rsidRDefault="007823E5" w:rsidP="005B46CF">
            <w:pPr>
              <w:pStyle w:val="MRLValu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*0.02</w:t>
            </w:r>
          </w:p>
        </w:tc>
      </w:tr>
      <w:tr w:rsidR="007823E5" w:rsidRPr="00BB44BB" w:rsidTr="005B46CF">
        <w:trPr>
          <w:cantSplit/>
        </w:trPr>
        <w:tc>
          <w:tcPr>
            <w:tcW w:w="2387" w:type="dxa"/>
            <w:tcBorders>
              <w:top w:val="nil"/>
              <w:left w:val="nil"/>
              <w:right w:val="nil"/>
            </w:tcBorders>
            <w:noWrap/>
          </w:tcPr>
          <w:p w:rsidR="007823E5" w:rsidRPr="00BB44BB" w:rsidRDefault="007823E5" w:rsidP="005B46CF">
            <w:pPr>
              <w:pStyle w:val="MRLCompound"/>
              <w:rPr>
                <w:rFonts w:ascii="Arial" w:hAnsi="Arial" w:cs="Arial"/>
                <w:sz w:val="18"/>
                <w:szCs w:val="18"/>
              </w:rPr>
            </w:pPr>
            <w:r w:rsidRPr="00BB44BB">
              <w:rPr>
                <w:rFonts w:ascii="Arial" w:hAnsi="Arial" w:cs="Arial"/>
                <w:sz w:val="18"/>
                <w:szCs w:val="18"/>
              </w:rPr>
              <w:t>VB</w:t>
            </w:r>
            <w:r w:rsidRPr="00BB44BB">
              <w:rPr>
                <w:rFonts w:ascii="Arial" w:hAnsi="Arial" w:cs="Arial"/>
                <w:sz w:val="18"/>
                <w:szCs w:val="18"/>
              </w:rPr>
              <w:tab/>
              <w:t>0040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noWrap/>
          </w:tcPr>
          <w:p w:rsidR="007823E5" w:rsidRPr="00BB44BB" w:rsidRDefault="007823E5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 w:rsidRPr="00BB44BB">
              <w:rPr>
                <w:rFonts w:ascii="Arial" w:hAnsi="Arial" w:cs="Arial"/>
                <w:sz w:val="18"/>
                <w:szCs w:val="18"/>
              </w:rPr>
              <w:t>Brassica (</w:t>
            </w:r>
            <w:proofErr w:type="spellStart"/>
            <w:r w:rsidRPr="00BB44BB">
              <w:rPr>
                <w:rFonts w:ascii="Arial" w:hAnsi="Arial" w:cs="Arial"/>
                <w:sz w:val="18"/>
                <w:szCs w:val="18"/>
              </w:rPr>
              <w:t>cole</w:t>
            </w:r>
            <w:proofErr w:type="spellEnd"/>
            <w:r w:rsidRPr="00BB44BB">
              <w:rPr>
                <w:rFonts w:ascii="Arial" w:hAnsi="Arial" w:cs="Arial"/>
                <w:sz w:val="18"/>
                <w:szCs w:val="18"/>
              </w:rPr>
              <w:t xml:space="preserve"> or cabbage) vegetables, Head cabbages, </w:t>
            </w:r>
            <w:proofErr w:type="spellStart"/>
            <w:r w:rsidRPr="00BB44BB">
              <w:rPr>
                <w:rFonts w:ascii="Arial" w:hAnsi="Arial" w:cs="Arial"/>
                <w:sz w:val="18"/>
                <w:szCs w:val="18"/>
              </w:rPr>
              <w:t>Flowerhead</w:t>
            </w:r>
            <w:proofErr w:type="spellEnd"/>
            <w:r w:rsidRPr="00BB44BB">
              <w:rPr>
                <w:rFonts w:ascii="Arial" w:hAnsi="Arial" w:cs="Arial"/>
                <w:sz w:val="18"/>
                <w:szCs w:val="18"/>
              </w:rPr>
              <w:t xml:space="preserve"> brassica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7823E5" w:rsidRPr="00BB44BB" w:rsidRDefault="007823E5" w:rsidP="005B46CF">
            <w:pPr>
              <w:pStyle w:val="MRLValue"/>
              <w:rPr>
                <w:rFonts w:ascii="Arial" w:hAnsi="Arial" w:cs="Arial"/>
                <w:sz w:val="18"/>
                <w:szCs w:val="18"/>
              </w:rPr>
            </w:pPr>
            <w:r w:rsidRPr="00BB44BB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</w:tr>
      <w:tr w:rsidR="007823E5" w:rsidRPr="00BB44BB" w:rsidTr="005B46CF">
        <w:trPr>
          <w:cantSplit/>
        </w:trPr>
        <w:tc>
          <w:tcPr>
            <w:tcW w:w="238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7823E5" w:rsidRPr="00BB44BB" w:rsidRDefault="007823E5" w:rsidP="005B46CF">
            <w:pPr>
              <w:pStyle w:val="MRLCompou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ab/>
              <w:t>0053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7823E5" w:rsidRPr="00BB44BB" w:rsidRDefault="007823E5" w:rsidP="005B46CF">
            <w:pPr>
              <w:pStyle w:val="MRL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Leafy vegetables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7823E5" w:rsidRPr="00BB44BB" w:rsidRDefault="007823E5" w:rsidP="005B46CF">
            <w:pPr>
              <w:pStyle w:val="MRLValu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</w:tr>
    </w:tbl>
    <w:p w:rsidR="007823E5" w:rsidRDefault="007823E5">
      <w:pPr>
        <w:rPr>
          <w:rFonts w:ascii="Times New Roman" w:hAnsi="Times New Roman" w:cs="Times New Roman"/>
          <w:sz w:val="24"/>
          <w:szCs w:val="24"/>
        </w:rPr>
      </w:pPr>
    </w:p>
    <w:p w:rsidR="007823E5" w:rsidRDefault="007823E5" w:rsidP="007823E5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MRLs have only been recommended for Cereals grains [except maize and sorghum], Brassica (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or cabbage) vegetables, Head cabbages, </w:t>
      </w:r>
      <w:proofErr w:type="spellStart"/>
      <w:proofErr w:type="gramStart"/>
      <w:r w:rsidRPr="007823E5">
        <w:rPr>
          <w:rFonts w:ascii="Times New Roman" w:hAnsi="Times New Roman" w:cs="Times New Roman"/>
          <w:sz w:val="24"/>
          <w:szCs w:val="24"/>
        </w:rPr>
        <w:t>Flowerhead</w:t>
      </w:r>
      <w:proofErr w:type="spellEnd"/>
      <w:proofErr w:type="gramEnd"/>
      <w:r w:rsidRPr="007823E5">
        <w:rPr>
          <w:rFonts w:ascii="Times New Roman" w:hAnsi="Times New Roman" w:cs="Times New Roman"/>
          <w:sz w:val="24"/>
          <w:szCs w:val="24"/>
        </w:rPr>
        <w:t xml:space="preserve"> brassicas and for Leafy vegetables. </w:t>
      </w:r>
      <w:r w:rsidR="009E57C5">
        <w:rPr>
          <w:rFonts w:ascii="Times New Roman" w:hAnsi="Times New Roman" w:cs="Times New Roman"/>
          <w:sz w:val="24"/>
          <w:szCs w:val="24"/>
        </w:rPr>
        <w:t xml:space="preserve">No changes are proposed to the </w:t>
      </w:r>
      <w:proofErr w:type="spellStart"/>
      <w:r w:rsidR="009E57C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="009E57C5">
        <w:rPr>
          <w:rFonts w:ascii="Times New Roman" w:hAnsi="Times New Roman" w:cs="Times New Roman"/>
          <w:sz w:val="24"/>
          <w:szCs w:val="24"/>
        </w:rPr>
        <w:t xml:space="preserve"> MRL for citrus, or that recently recommended in the Trade Advice Notice for product 60687.</w:t>
      </w:r>
      <w:r w:rsidR="009E57C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E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Cereal grains and citrus are major export commodities and require further consideration with respect to trade.</w:t>
      </w:r>
    </w:p>
    <w:p w:rsidR="00C06C66" w:rsidRPr="007823E5" w:rsidRDefault="00C06C66" w:rsidP="007823E5">
      <w:pPr>
        <w:rPr>
          <w:rFonts w:ascii="Times New Roman" w:hAnsi="Times New Roman" w:cs="Times New Roman"/>
          <w:sz w:val="24"/>
          <w:szCs w:val="24"/>
        </w:rPr>
      </w:pPr>
    </w:p>
    <w:p w:rsidR="007823E5" w:rsidRPr="007823E5" w:rsidRDefault="007823E5" w:rsidP="007823E5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i/>
          <w:sz w:val="24"/>
          <w:szCs w:val="24"/>
        </w:rPr>
        <w:t>Citrus</w:t>
      </w:r>
    </w:p>
    <w:p w:rsidR="000E21D5" w:rsidRDefault="000E21D5" w:rsidP="0078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registered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citrus involves application at up to 7.5 g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>/100 L (</w:t>
      </w:r>
      <w:r w:rsidR="007366D9">
        <w:rPr>
          <w:rFonts w:ascii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hAnsi="Times New Roman" w:cs="Times New Roman"/>
          <w:sz w:val="24"/>
          <w:szCs w:val="24"/>
        </w:rPr>
        <w:t>2 applications) in conjunction with a 7 week harvest withholding period (</w:t>
      </w:r>
      <w:proofErr w:type="spellStart"/>
      <w:r>
        <w:rPr>
          <w:rFonts w:ascii="Times New Roman" w:hAnsi="Times New Roman" w:cs="Times New Roman"/>
          <w:sz w:val="24"/>
          <w:szCs w:val="24"/>
        </w:rPr>
        <w:t>Actara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Insecticide, 56499).</w:t>
      </w:r>
    </w:p>
    <w:p w:rsidR="007823E5" w:rsidRDefault="007823E5" w:rsidP="007823E5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 xml:space="preserve">Residues of CGA 322704 in whole citrus fruit at 42- 43 days after the last application of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at 7.5 - 10 g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/100 L (1 – 1.3×) were &lt;0.02, 0.02, 0.04 and 0.11 mg/kg. The current temporary MRL of T0.2 mg/kg for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on FC 0001 Citrus fruits should cover residues of CGA 322704 resulting from the use of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. (This MRL also covers the use of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on citrus under permits 81925 and 82831 (expire 31-Mar-2019)). </w:t>
      </w:r>
      <w:r w:rsidR="009E57C5">
        <w:rPr>
          <w:rFonts w:ascii="Times New Roman" w:hAnsi="Times New Roman" w:cs="Times New Roman"/>
          <w:sz w:val="24"/>
          <w:szCs w:val="24"/>
        </w:rPr>
        <w:t xml:space="preserve"> It has recently been recommended that the temporary </w:t>
      </w:r>
      <w:proofErr w:type="spellStart"/>
      <w:r w:rsidR="009E57C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="009E57C5">
        <w:rPr>
          <w:rFonts w:ascii="Times New Roman" w:hAnsi="Times New Roman" w:cs="Times New Roman"/>
          <w:sz w:val="24"/>
          <w:szCs w:val="24"/>
        </w:rPr>
        <w:t xml:space="preserve"> citrus MRL be replaced with a permanent citrus MRL at 0.5 mg/kg to cover registration of a </w:t>
      </w:r>
      <w:proofErr w:type="spellStart"/>
      <w:r w:rsidR="009E57C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="009E57C5">
        <w:rPr>
          <w:rFonts w:ascii="Times New Roman" w:hAnsi="Times New Roman" w:cs="Times New Roman"/>
          <w:sz w:val="24"/>
          <w:szCs w:val="24"/>
        </w:rPr>
        <w:t xml:space="preserve"> use on citrus for product 60687. No further changes are required to this MRL to cover the use of </w:t>
      </w:r>
      <w:proofErr w:type="spellStart"/>
      <w:r w:rsidR="009E57C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="009E57C5">
        <w:rPr>
          <w:rFonts w:ascii="Times New Roman" w:hAnsi="Times New Roman" w:cs="Times New Roman"/>
          <w:sz w:val="24"/>
          <w:szCs w:val="24"/>
        </w:rPr>
        <w:t xml:space="preserve"> on citrus.</w:t>
      </w:r>
    </w:p>
    <w:p w:rsidR="007823E5" w:rsidRDefault="007823E5" w:rsidP="007823E5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 xml:space="preserve">The current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Actara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</w:t>
      </w:r>
      <w:r w:rsidR="00914AB3">
        <w:rPr>
          <w:rFonts w:ascii="Times New Roman" w:hAnsi="Times New Roman" w:cs="Times New Roman"/>
          <w:sz w:val="24"/>
          <w:szCs w:val="24"/>
        </w:rPr>
        <w:t xml:space="preserve">Insecticide </w:t>
      </w:r>
      <w:r w:rsidRPr="007823E5">
        <w:rPr>
          <w:rFonts w:ascii="Times New Roman" w:hAnsi="Times New Roman" w:cs="Times New Roman"/>
          <w:sz w:val="24"/>
          <w:szCs w:val="24"/>
        </w:rPr>
        <w:t>label</w:t>
      </w:r>
      <w:r w:rsidR="00914AB3">
        <w:rPr>
          <w:rFonts w:ascii="Times New Roman" w:hAnsi="Times New Roman" w:cs="Times New Roman"/>
          <w:sz w:val="24"/>
          <w:szCs w:val="24"/>
        </w:rPr>
        <w:t xml:space="preserve"> (56499)</w:t>
      </w:r>
      <w:r w:rsidRPr="007823E5">
        <w:rPr>
          <w:rFonts w:ascii="Times New Roman" w:hAnsi="Times New Roman" w:cs="Times New Roman"/>
          <w:sz w:val="24"/>
          <w:szCs w:val="24"/>
        </w:rPr>
        <w:t xml:space="preserve"> advises that a 22 week withholding period should be observed for </w:t>
      </w:r>
      <w:r w:rsidR="00914AB3">
        <w:rPr>
          <w:rFonts w:ascii="Times New Roman" w:hAnsi="Times New Roman" w:cs="Times New Roman"/>
          <w:sz w:val="24"/>
          <w:szCs w:val="24"/>
        </w:rPr>
        <w:t xml:space="preserve">citrus </w:t>
      </w:r>
      <w:r w:rsidRPr="007823E5">
        <w:rPr>
          <w:rFonts w:ascii="Times New Roman" w:hAnsi="Times New Roman" w:cs="Times New Roman"/>
          <w:sz w:val="24"/>
          <w:szCs w:val="24"/>
        </w:rPr>
        <w:t>fruit exported</w:t>
      </w:r>
      <w:r w:rsidR="00914AB3">
        <w:rPr>
          <w:rFonts w:ascii="Times New Roman" w:hAnsi="Times New Roman" w:cs="Times New Roman"/>
          <w:sz w:val="24"/>
          <w:szCs w:val="24"/>
        </w:rPr>
        <w:t xml:space="preserve"> to markets where a lower MRL or</w:t>
      </w:r>
      <w:r w:rsidRPr="007823E5">
        <w:rPr>
          <w:rFonts w:ascii="Times New Roman" w:hAnsi="Times New Roman" w:cs="Times New Roman"/>
          <w:sz w:val="24"/>
          <w:szCs w:val="24"/>
        </w:rPr>
        <w:t xml:space="preserve"> no MRL has been set. Residues of CGA 322704 in citrus fruit in 2 trials investigating this WHP were </w:t>
      </w:r>
      <w:r w:rsidRPr="007823E5">
        <w:rPr>
          <w:rFonts w:ascii="Times New Roman" w:hAnsi="Times New Roman" w:cs="Times New Roman"/>
          <w:sz w:val="24"/>
          <w:szCs w:val="24"/>
        </w:rPr>
        <w:lastRenderedPageBreak/>
        <w:t>&lt;0.005 mg/kg after application at 1× and 2× proposed. The 22 week WHP for exported fruit should therefore ensure there are no residues of CGA 322704 and no additional risk to trade.</w:t>
      </w:r>
    </w:p>
    <w:p w:rsidR="00C06C66" w:rsidRPr="007823E5" w:rsidRDefault="00C06C66" w:rsidP="007823E5">
      <w:pPr>
        <w:rPr>
          <w:rFonts w:ascii="Times New Roman" w:hAnsi="Times New Roman" w:cs="Times New Roman"/>
          <w:sz w:val="24"/>
          <w:szCs w:val="24"/>
        </w:rPr>
      </w:pPr>
    </w:p>
    <w:p w:rsidR="00C06C66" w:rsidRPr="007823E5" w:rsidRDefault="007823E5" w:rsidP="007823E5">
      <w:pPr>
        <w:rPr>
          <w:rFonts w:ascii="Times New Roman" w:hAnsi="Times New Roman" w:cs="Times New Roman"/>
          <w:i/>
          <w:sz w:val="24"/>
          <w:szCs w:val="24"/>
        </w:rPr>
      </w:pPr>
      <w:r w:rsidRPr="007823E5">
        <w:rPr>
          <w:rFonts w:ascii="Times New Roman" w:hAnsi="Times New Roman" w:cs="Times New Roman"/>
          <w:i/>
          <w:sz w:val="24"/>
          <w:szCs w:val="24"/>
        </w:rPr>
        <w:t>Cereals (except maize and sorghum)</w:t>
      </w:r>
    </w:p>
    <w:p w:rsidR="007366D9" w:rsidRDefault="007366D9" w:rsidP="0078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critical GAP for cereals involves seed treatment at 69.3 g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/100 kg seed with a harvest withholding period of “Not required when used as directed” (Cruiser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Insecticide Seed Treatment, 65888).</w:t>
      </w:r>
    </w:p>
    <w:p w:rsidR="007823E5" w:rsidRDefault="007823E5" w:rsidP="007823E5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 xml:space="preserve">EU trials involved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application at 52.7 – 78.4 g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/100 kg seed (0.76 – 1.1×). Residues of CGA 322704 in cereal grain at harvest were &lt;0.02 (57) and 0.02 mg/kg. The OECD calculator recommends an MRL of 0.02 mg/kg. Based on a weight of evidence approach, an MRL of *0.02 mg/kg is recommended for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on GC 0080 Cereal grains [except Maize; Popcorn and Sorghum] to cover registered uses of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thiamethoxam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>.</w:t>
      </w:r>
    </w:p>
    <w:p w:rsidR="007823E5" w:rsidRPr="007823E5" w:rsidRDefault="007823E5">
      <w:pPr>
        <w:rPr>
          <w:rFonts w:ascii="Times New Roman" w:hAnsi="Times New Roman" w:cs="Times New Roman"/>
          <w:sz w:val="24"/>
          <w:szCs w:val="24"/>
        </w:rPr>
      </w:pPr>
      <w:r w:rsidRPr="007823E5">
        <w:rPr>
          <w:rFonts w:ascii="Times New Roman" w:hAnsi="Times New Roman" w:cs="Times New Roman"/>
          <w:sz w:val="24"/>
          <w:szCs w:val="24"/>
        </w:rPr>
        <w:t xml:space="preserve">The risk to trade in cereal grains is low, noting also that no changes are proposed to currently registered uses and the lack of detections of </w:t>
      </w:r>
      <w:proofErr w:type="spellStart"/>
      <w:r w:rsidRPr="007823E5">
        <w:rPr>
          <w:rFonts w:ascii="Times New Roman" w:hAnsi="Times New Roman" w:cs="Times New Roman"/>
          <w:sz w:val="24"/>
          <w:szCs w:val="24"/>
        </w:rPr>
        <w:t>clothianidin</w:t>
      </w:r>
      <w:proofErr w:type="spellEnd"/>
      <w:r w:rsidRPr="007823E5">
        <w:rPr>
          <w:rFonts w:ascii="Times New Roman" w:hAnsi="Times New Roman" w:cs="Times New Roman"/>
          <w:sz w:val="24"/>
          <w:szCs w:val="24"/>
        </w:rPr>
        <w:t xml:space="preserve"> in samples of wheat, barley and oat grain analysed by the NRS in 2016/17.</w:t>
      </w:r>
      <w:r w:rsidR="00C06C6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7823E5" w:rsidRPr="00782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CC" w:rsidRDefault="007643CC" w:rsidP="00C06C66">
      <w:pPr>
        <w:spacing w:after="0" w:line="240" w:lineRule="auto"/>
      </w:pPr>
      <w:r>
        <w:separator/>
      </w:r>
    </w:p>
  </w:endnote>
  <w:endnote w:type="continuationSeparator" w:id="0">
    <w:p w:rsidR="007643CC" w:rsidRDefault="007643CC" w:rsidP="00C0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CC" w:rsidRDefault="007643CC" w:rsidP="00C06C66">
      <w:pPr>
        <w:spacing w:after="0" w:line="240" w:lineRule="auto"/>
      </w:pPr>
      <w:r>
        <w:separator/>
      </w:r>
    </w:p>
  </w:footnote>
  <w:footnote w:type="continuationSeparator" w:id="0">
    <w:p w:rsidR="007643CC" w:rsidRDefault="007643CC" w:rsidP="00C06C66">
      <w:pPr>
        <w:spacing w:after="0" w:line="240" w:lineRule="auto"/>
      </w:pPr>
      <w:r>
        <w:continuationSeparator/>
      </w:r>
    </w:p>
  </w:footnote>
  <w:footnote w:id="1">
    <w:p w:rsidR="009E57C5" w:rsidRDefault="009E57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57C5">
        <w:t>https://apvma.gov.au/node/33001</w:t>
      </w:r>
    </w:p>
  </w:footnote>
  <w:footnote w:id="2">
    <w:p w:rsidR="00C06C66" w:rsidRDefault="00C06C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7599B">
          <w:rPr>
            <w:rStyle w:val="Hyperlink"/>
          </w:rPr>
          <w:t>http://www.agriculture.gov.au/ag-farm-food/food/nrs/nrs-results-publications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35F"/>
    <w:multiLevelType w:val="hybridMultilevel"/>
    <w:tmpl w:val="A97C8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7C41"/>
    <w:multiLevelType w:val="hybridMultilevel"/>
    <w:tmpl w:val="8C90DDC8"/>
    <w:lvl w:ilvl="0" w:tplc="8B025C16">
      <w:start w:val="1"/>
      <w:numFmt w:val="bullet"/>
      <w:pStyle w:val="ListParagraph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EA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A44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F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AD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48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29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A5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0E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A"/>
    <w:rsid w:val="00001BD4"/>
    <w:rsid w:val="000E21D5"/>
    <w:rsid w:val="002230F9"/>
    <w:rsid w:val="00487D31"/>
    <w:rsid w:val="00566AB5"/>
    <w:rsid w:val="00637194"/>
    <w:rsid w:val="006E040C"/>
    <w:rsid w:val="007072CA"/>
    <w:rsid w:val="00722579"/>
    <w:rsid w:val="007366D9"/>
    <w:rsid w:val="007643CC"/>
    <w:rsid w:val="007823E5"/>
    <w:rsid w:val="0090537A"/>
    <w:rsid w:val="00914AB3"/>
    <w:rsid w:val="009E57C5"/>
    <w:rsid w:val="00B05E55"/>
    <w:rsid w:val="00B450A5"/>
    <w:rsid w:val="00C06C66"/>
    <w:rsid w:val="00E307E2"/>
    <w:rsid w:val="00E50C5E"/>
    <w:rsid w:val="00F31D75"/>
    <w:rsid w:val="00F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1EE44-1CDC-4787-91C7-BDB4151A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7A"/>
    <w:pPr>
      <w:numPr>
        <w:numId w:val="1"/>
      </w:numPr>
      <w:tabs>
        <w:tab w:val="clear" w:pos="720"/>
      </w:tabs>
      <w:spacing w:after="120" w:line="240" w:lineRule="auto"/>
      <w:ind w:left="567" w:hanging="357"/>
      <w:contextualSpacing/>
    </w:pPr>
    <w:rPr>
      <w:rFonts w:ascii="Arial" w:eastAsia="Arial" w:hAnsi="Arial" w:cs="Arial"/>
      <w:sz w:val="20"/>
      <w:szCs w:val="20"/>
    </w:rPr>
  </w:style>
  <w:style w:type="paragraph" w:customStyle="1" w:styleId="MRLTableText">
    <w:name w:val="MRL Table Text"/>
    <w:basedOn w:val="Normal"/>
    <w:rsid w:val="0090537A"/>
    <w:pPr>
      <w:spacing w:before="60" w:after="6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LTableHeading">
    <w:name w:val="MRL Table Heading"/>
    <w:basedOn w:val="Normal"/>
    <w:rsid w:val="0090537A"/>
    <w:pPr>
      <w:spacing w:before="60" w:after="60" w:line="240" w:lineRule="auto"/>
    </w:pPr>
    <w:rPr>
      <w:rFonts w:ascii="Times New Roman" w:eastAsia="Times New Roman" w:hAnsi="Times New Roman" w:cs="Times New Roman"/>
      <w:b/>
      <w:szCs w:val="24"/>
    </w:rPr>
  </w:style>
  <w:style w:type="paragraph" w:customStyle="1" w:styleId="MRLCompound">
    <w:name w:val="MRL Compound"/>
    <w:basedOn w:val="MRLTableText"/>
    <w:rsid w:val="007823E5"/>
    <w:pPr>
      <w:tabs>
        <w:tab w:val="left" w:pos="972"/>
      </w:tabs>
      <w:ind w:left="432"/>
    </w:pPr>
  </w:style>
  <w:style w:type="paragraph" w:customStyle="1" w:styleId="MRLActiveName">
    <w:name w:val="MRL Active Name"/>
    <w:basedOn w:val="Normal"/>
    <w:rsid w:val="007823E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MRLTableCaption">
    <w:name w:val="MRL Table Caption"/>
    <w:basedOn w:val="Normal"/>
    <w:next w:val="BodyText"/>
    <w:rsid w:val="007823E5"/>
    <w:pPr>
      <w:keepNext/>
      <w:spacing w:before="120" w:after="120" w:line="280" w:lineRule="atLeast"/>
      <w:ind w:left="1134" w:hanging="1134"/>
    </w:pPr>
    <w:rPr>
      <w:rFonts w:ascii="Times New Roman" w:eastAsia="Times New Roman" w:hAnsi="Times New Roman" w:cs="Times New Roman"/>
      <w:b/>
      <w:spacing w:val="6"/>
      <w:sz w:val="24"/>
      <w:szCs w:val="24"/>
    </w:rPr>
  </w:style>
  <w:style w:type="paragraph" w:customStyle="1" w:styleId="MRLValue">
    <w:name w:val="MRL Value"/>
    <w:basedOn w:val="MRLTableText"/>
    <w:rsid w:val="007823E5"/>
    <w:pPr>
      <w:tabs>
        <w:tab w:val="decimal" w:pos="792"/>
      </w:tabs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782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3E5"/>
  </w:style>
  <w:style w:type="paragraph" w:styleId="FootnoteText">
    <w:name w:val="footnote text"/>
    <w:basedOn w:val="Normal"/>
    <w:link w:val="FootnoteTextChar"/>
    <w:uiPriority w:val="99"/>
    <w:semiHidden/>
    <w:unhideWhenUsed/>
    <w:rsid w:val="00C06C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C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6C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C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2a4b86e1f322473b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culture.gov.au/ag-farm-food/food/nrs/nrs-results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0782AAB515E47F68D0ED650F5E2ABDE" version="1.0.0">
  <systemFields>
    <field name="Objective-Id">
      <value order="0">A1199858</value>
    </field>
    <field name="Objective-Title">
      <value order="0">Thiamethoxam_clothianidin_stakeholder_advice_draft</value>
    </field>
    <field name="Objective-Description">
      <value order="0"/>
    </field>
    <field name="Objective-CreationStamp">
      <value order="0">2018-07-08T22:31:05Z</value>
    </field>
    <field name="Objective-IsApproved">
      <value order="0">false</value>
    </field>
    <field name="Objective-IsPublished">
      <value order="0">true</value>
    </field>
    <field name="Objective-DatePublished">
      <value order="0">2018-11-16T06:00:29Z</value>
    </field>
    <field name="Objective-ModificationStamp">
      <value order="0">2018-11-16T06:00:29Z</value>
    </field>
    <field name="Objective-Owner">
      <value order="0">Ken Robinson</value>
    </field>
    <field name="Objective-Path">
      <value order="0">APVMA:SCIENTIFIC ASSESSMENT:Scientific Assessment - Residues and Trade:Scientific Assessment - Residues and Trade - Evaluations:Scientific Assessment - Residues and Trade - Evaluations - S-Z:SA - R&amp;T - Evaluations - Thiamethoxam:3.Residues - Thiamethoxam - Clothianidin - s161 review</value>
    </field>
    <field name="Objective-Parent">
      <value order="0">3.Residues - Thiamethoxam - Clothianidin - s161 review</value>
    </field>
    <field name="Objective-State">
      <value order="0">Published</value>
    </field>
    <field name="Objective-VersionId">
      <value order="0">vA2027550</value>
    </field>
    <field name="Objective-Version">
      <value order="0">3.0</value>
    </field>
    <field name="Objective-VersionNumber">
      <value order="0">8</value>
    </field>
    <field name="Objective-VersionComment">
      <value order="0"/>
    </field>
    <field name="Objective-FileNumber">
      <value order="0">qA144531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CA50B484-A4FF-4223-9D28-FB9DC126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FF97E8FE.dotm</Template>
  <TotalTime>60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APVMA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Ken</dc:creator>
  <cp:keywords/>
  <dc:description/>
  <cp:lastModifiedBy>DELLER, James</cp:lastModifiedBy>
  <cp:revision>8</cp:revision>
  <dcterms:created xsi:type="dcterms:W3CDTF">2018-07-08T23:07:00Z</dcterms:created>
  <dcterms:modified xsi:type="dcterms:W3CDTF">2018-11-16T05:52:00Z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A1199858</vt:lpwstr>
  </property>
  <property fmtid="{D5CDD505-2E9C-101B-9397-08002B2CF9AE}" pid="4" name="Objective-Title">
    <vt:lpwstr>Thiamethoxam_clothianidin_stakeholder_advice_draft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2018-07-08T22:31:19Z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2018-11-16T06:00:29Z</vt:filetime>
  </property>
  <property fmtid="{D5CDD505-2E9C-101B-9397-08002B2CF9AE}" pid="10" name="Objective-ModificationStamp">
    <vt:filetime>2018-11-16T06:00:29Z</vt:filetime>
  </property>
  <property fmtid="{D5CDD505-2E9C-101B-9397-08002B2CF9AE}" pid="11" name="Objective-Owner">
    <vt:lpwstr>Ken Robinson</vt:lpwstr>
  </property>
  <property fmtid="{D5CDD505-2E9C-101B-9397-08002B2CF9AE}" pid="12" name="Objective-Path">
    <vt:lpwstr>APVMA:SCIENTIFIC ASSESSMENT:Scientific Assessment - Residues and Trade:Scientific Assessment - Residues and Trade - Evaluations:Scientific Assessment - Residues and Trade - Evaluations - S-Z:SA - R&amp;T - Evaluations - Thiamethoxam:3.Residues - Thiamethoxam - Clothianidin - s161 review:</vt:lpwstr>
  </property>
  <property fmtid="{D5CDD505-2E9C-101B-9397-08002B2CF9AE}" pid="13" name="Objective-Parent">
    <vt:lpwstr>3.Residues - Thiamethoxam - Clothianidin - s161 review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vA2027550</vt:lpwstr>
  </property>
  <property fmtid="{D5CDD505-2E9C-101B-9397-08002B2CF9AE}" pid="16" name="Objective-Version">
    <vt:lpwstr>3.0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2017\6274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/>
  </property>
</Properties>
</file>